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3"/>
      </w:tblGrid>
      <w:tr w:rsidR="000E7BDF" w:rsidTr="00370CA3">
        <w:tc>
          <w:tcPr>
            <w:tcW w:w="13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0E7BDF" w:rsidRDefault="00344C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341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3"/>
        <w:gridCol w:w="552"/>
        <w:gridCol w:w="2359"/>
        <w:gridCol w:w="1259"/>
      </w:tblGrid>
      <w:tr w:rsidR="000E7BDF" w:rsidTr="00C61295">
        <w:trPr>
          <w:trHeight w:val="270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25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E7BDF" w:rsidTr="00C612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6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0E7BDF" w:rsidTr="00C61295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Pr="002F0E0B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2F0E0B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</w:t>
            </w:r>
            <w:r w:rsidRPr="002F0E0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 на   1 января 2025 г.</w:t>
            </w: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0E7BDF" w:rsidTr="00C61295">
        <w:trPr>
          <w:trHeight w:val="300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субъекта </w:t>
            </w:r>
          </w:p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300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19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Pr="00370CA3" w:rsidRDefault="00C61295" w:rsidP="0037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79833594</w:t>
            </w:r>
          </w:p>
        </w:tc>
      </w:tr>
      <w:tr w:rsidR="000E7BDF" w:rsidTr="00C61295">
        <w:trPr>
          <w:trHeight w:val="19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</w:tr>
      <w:tr w:rsidR="000E7BDF" w:rsidTr="00C61295">
        <w:trPr>
          <w:trHeight w:val="19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</w:tr>
      <w:tr w:rsidR="000E7BDF" w:rsidTr="00C61295">
        <w:trPr>
          <w:trHeight w:val="19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0"/>
              </w:rPr>
            </w:pPr>
          </w:p>
        </w:tc>
      </w:tr>
      <w:tr w:rsidR="000E7BDF" w:rsidTr="00C61295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 w:rsidR="00C61295" w:rsidRPr="00C6129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 w:rsidP="00C6129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="00C6129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E7BDF" w:rsidTr="00C61295">
        <w:trPr>
          <w:trHeight w:val="280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 w:rsidR="00C61295" w:rsidRPr="00C6129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муниципального образования Сертоловское городское поселение Всеволожского муниципального  района Ленинградской области</w:t>
            </w:r>
          </w:p>
          <w:p w:rsidR="000E7BDF" w:rsidRDefault="00344CBA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41612102</w:t>
            </w:r>
          </w:p>
        </w:tc>
      </w:tr>
      <w:tr w:rsidR="000E7BDF" w:rsidTr="00C61295">
        <w:trPr>
          <w:trHeight w:val="315"/>
        </w:trPr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</w:t>
            </w:r>
            <w:r w:rsidRPr="00370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70CA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годовая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E7BDF" w:rsidTr="00C612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4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3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C61295">
        <w:trPr>
          <w:trHeight w:val="282"/>
        </w:trPr>
        <w:tc>
          <w:tcPr>
            <w:tcW w:w="1341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</w:tbl>
    <w:p w:rsidR="00C61295" w:rsidRPr="00C61295" w:rsidRDefault="00C61295" w:rsidP="00C61295">
      <w:pPr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Раздел 1 «Организационная структура субъекта бюджетной отчетности»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Совет депутатов МО Сертолово создан 27.12.2006 г. в соответствии со ст.41 Федерального закона РФ №131-ФЗ. Полное наименование: Совет депутатов муниципального образования Сертоловское городское поселение Всеволожского муниципального района Ленинградской области. Фактический и юридический адрес: Ленинградская область, </w:t>
      </w:r>
      <w:proofErr w:type="spell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proofErr w:type="gram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.С</w:t>
      </w:r>
      <w:proofErr w:type="gram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ертолово</w:t>
      </w:r>
      <w:proofErr w:type="spell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ул.Молодцова</w:t>
      </w:r>
      <w:proofErr w:type="spell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, 7 корп.2. Источник финансирования – бюджет МО Сертолово.</w:t>
      </w: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 Основные направления деятельности Совета депутатов – решение вопросов местного значения: принятие устава муниципального образования и внесение в него изменений и дополнений; установление тарифов на </w:t>
      </w: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услуги, утверждение бюджета и внесение изменений в бюджет МО Сертолово. Обладает имуществом на праве оперативного управления. Возглавляет совет депутатов МО Сертолово глава МО Сертолово – председатель совета депутатов МО Сертолово  Коломыцев Сергей Васильевич. Избран на должность решением совета депутатов МО Сертолово от 12.09.2024 г. № 23.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Штатным расписанием на 2024 г. утверждены 3 должности.  Две выборные должности, осуществляющие свои полномочия на постоянной основе и должность, не являющаяся должностью муниципальной службы. Фактически замещено на отчетную дату  3 </w:t>
      </w:r>
      <w:proofErr w:type="gram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штатных</w:t>
      </w:r>
      <w:proofErr w:type="gram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единицы. Бухгалтерский учет осуществляет физическое лицо по договору гражданско-правового характера от 01.01.2024 г. Подведомственных учреждений Совет депутатов не имеет.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Раздел 2 «Результаты деятельности субъекта бюджетной отчетности»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В  целях эффективного использования бюджетных средств поставка товаров, выполнение работ  и оказание услуг для  муниципальных нужд в 2024 году осуществлялись путем заключения контрактов с единственным поставщиком. 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В течение  отчетного периода приобретение товаров, выполнение работ и оказание услуг осуществлялись по муниципальным контрактам стоимостью до 300 тыс. За отчетный период оказано услуг, закуплено товаров  на сумму 2 000 000 руб. Повышение квалификации в 2024 году не проводилось.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Раздел 3 «Анализ отчетности об исполнении бюджета субъекта бюджетной отчетности»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Решением Совета депутатов «О бюджете муниципального образования Сертолово  Ленинградской области на 2024 год и плановый период 2025-2026 годов» от 19.12.2023 № 50 с учетом внесенных изменений, утверждены основные характеристики  бюджетной сметы Совета депутатов на 2024 год  по расходам- 10 292 832,64 руб.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За    2024 г. расходы исполнены на 100 % и  составили 10 292 832,64 руб.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spacing w:beforeAutospacing="1" w:afterAutospacing="1"/>
        <w:jc w:val="center"/>
        <w:outlineLvl w:val="0"/>
        <w:rPr>
          <w:rFonts w:ascii="Times New Roman" w:eastAsia="Times New Roman" w:hAnsi="Times New Roman" w:cs="Calibri"/>
          <w:b/>
          <w:sz w:val="48"/>
          <w:szCs w:val="24"/>
        </w:rPr>
      </w:pPr>
      <w:r w:rsidRPr="00C6129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Раздел 4 «Анализ показателей отчетности субъекта бюджетной отчетности»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  По  состоянию на 01 января 2025 года просроченной, нереальной к взысканию задолженности не выявлено. Текущая дебиторская задолженность – 4 387,29 руб.  – перечислен аванс на услуги связи за декабрь 2024 года. Кредиторской задолженности нет.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Утрат, недостач материальных и денежных средств в отчетном периоде не выявлено.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Бюджетные и денежные обязательства приняты и исполнены в пределах выделенных лимитов бюджетных обязательств.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Исполнительные листы за отчетный период не предъявлялись.</w:t>
      </w:r>
    </w:p>
    <w:p w:rsidR="00C61295" w:rsidRPr="00C61295" w:rsidRDefault="00C61295" w:rsidP="00C61295">
      <w:pPr>
        <w:autoSpaceDE w:val="0"/>
        <w:autoSpaceDN w:val="0"/>
        <w:adjustRightInd w:val="0"/>
        <w:ind w:left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Раздел 5 «Прочие вопросы деятельности субъекта бюджетной отчетности»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Для ведения бюджетного учета учреждением используется программа автоматизации учета 1С: Предприятие версия 8.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Приносящая доход деятельность не ведется. 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В учете отражаются резервы предстоящих расходов на оплату отпусков. Принимаются к учету в виде компенсации за неиспользованный отпуск по состоянию на 31 декабря. На сумму резервов принимаются отложенные обязательства. Резерв списывается при предоставлении отпусков штатным сотрудникам.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Внутренний контроль организован на уровне текущего и предварительного при проверке и формировании первичных учетных документов.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С 1 апреля 2024 года внедрен электронный документооборот с применением электронных форм первичных учетных документов.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Перед сдачей годовой отчетности в соответствии с приказом от 29.11.2024 г. № 79 ОД  проведена инвентаризация имущества и финансовых обязательств. Излишков, недостач не выявлено. </w:t>
      </w:r>
    </w:p>
    <w:p w:rsidR="00C61295" w:rsidRPr="00C61295" w:rsidRDefault="00C61295" w:rsidP="00C612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 мероприятий внешнего  финансового контроля в отчетном периоде, с 29.03.2024 г. по 09.04.2024 г. контрольно-счетным органом МО «Всеволожский муниципальный район» Ленинградской области проведена проверка годового отчета об исполнении бюджета МО Сертолово за 2023 год и с 18 по 27 ноября 2024 г. проверка проекта бюджета МО Сертолово на 2025 год и плановый период 2026-2027 </w:t>
      </w:r>
      <w:proofErr w:type="spellStart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г.г</w:t>
      </w:r>
      <w:proofErr w:type="spell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>. Нарушений не выявлено.</w:t>
      </w:r>
      <w:proofErr w:type="gramEnd"/>
      <w:r w:rsidRPr="00C612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Проект бюджета рекомендовано принять на рассмотрение совету депутатов МО Сертолово.</w:t>
      </w:r>
    </w:p>
    <w:p w:rsidR="00327763" w:rsidRDefault="00327763" w:rsidP="0032776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Из-за отсутствия числовых показателей не предоставляются формы по ОКУД: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0503171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«Сведения о финансовых вложениях получателей бюджетных средств администратора источников  финансирования дефицита бюджета»,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0503172 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«Сведения о государственном (муниципальном) долге, предоставленных бюджетных кредитах»,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0503173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«Сведения об изменении остатков валюты баланса (бюджетная деятельность),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lastRenderedPageBreak/>
        <w:t>0503174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"Сведения о доходах бюджета от перечисления части прибыли",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0503175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«Сведения о принятых и неисполненных обязательствах получателей бюджетных  средств»,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0503178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 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Сведения об остатках бюджетных средств на счетах получателей бюджетных средств», 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таблица 6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«Сведения о проведении инвентаризации»,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0503190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 «Сведения о вложениях в объекты недвижимого имущества, объекты незавершённого строительства»,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0503192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Расшифровка дебиторской задолженности по контрактным обязательствам», 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0503193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«Расшифровка дебиторской задолженности по субсидиям организаций»,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 xml:space="preserve"> 0503296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«Сведения об исполнении судебных решений по денежным обязательствам бюджета»,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таблица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 xml:space="preserve"> 13 </w:t>
      </w:r>
      <w:r>
        <w:rPr>
          <w:rFonts w:ascii="Times New Roman" w:eastAsia="Times New Roman" w:hAnsi="Times New Roman" w:cs="Calibri"/>
          <w:color w:val="000000"/>
          <w:sz w:val="28"/>
          <w:szCs w:val="24"/>
        </w:rPr>
        <w:t>«Анализ отчета об исполнении бюджета субъектом бюджетной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4"/>
        </w:rPr>
        <w:t xml:space="preserve"> отчетности», </w:t>
      </w:r>
      <w:r>
        <w:rPr>
          <w:rFonts w:ascii="Times New Roman" w:eastAsia="Times New Roman" w:hAnsi="Times New Roman" w:cs="Calibri"/>
          <w:b/>
          <w:color w:val="000000"/>
          <w:sz w:val="28"/>
          <w:szCs w:val="24"/>
        </w:rPr>
        <w:t>таблица 14</w:t>
      </w:r>
      <w:r>
        <w:rPr>
          <w:rFonts w:ascii="Times New Roman" w:eastAsia="Times New Roman" w:hAnsi="Times New Roman" w:cs="Calibri"/>
          <w:color w:val="000000"/>
          <w:sz w:val="28"/>
          <w:szCs w:val="24"/>
        </w:rPr>
        <w:t xml:space="preserve"> «Анализ показателей отчетности субъекта бюджетной отчетности»</w:t>
      </w:r>
      <w:r>
        <w:rPr>
          <w:rFonts w:ascii="Times New Roman" w:eastAsia="Times New Roman" w:hAnsi="Times New Roman" w:cs="Calibri"/>
          <w:color w:val="000000"/>
          <w:sz w:val="28"/>
          <w:szCs w:val="24"/>
        </w:rPr>
        <w:t>.</w:t>
      </w:r>
    </w:p>
    <w:p w:rsidR="00C61295" w:rsidRPr="00C61295" w:rsidRDefault="00C61295" w:rsidP="00327763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C61295">
        <w:rPr>
          <w:rFonts w:ascii="Times New Roman" w:eastAsia="Times New Roman" w:hAnsi="Times New Roman" w:cs="Calibri"/>
          <w:color w:val="000000"/>
          <w:szCs w:val="24"/>
        </w:rPr>
        <w:t> </w:t>
      </w:r>
      <w:r w:rsidRPr="00C61295">
        <w:rPr>
          <w:rFonts w:ascii="Calibri" w:eastAsia="Times New Roman" w:hAnsi="Calibri" w:cs="Calibri"/>
          <w:color w:val="000000"/>
          <w:szCs w:val="24"/>
        </w:rPr>
        <w:t> </w:t>
      </w:r>
    </w:p>
    <w:tbl>
      <w:tblPr>
        <w:tblW w:w="12510" w:type="dxa"/>
        <w:tblInd w:w="-74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5807"/>
        <w:gridCol w:w="3778"/>
      </w:tblGrid>
      <w:tr w:rsidR="000E7BDF" w:rsidTr="00327763">
        <w:tc>
          <w:tcPr>
            <w:tcW w:w="125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/>
        </w:tc>
      </w:tr>
      <w:tr w:rsidR="000E7BDF" w:rsidTr="00327763"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C612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174493" wp14:editId="78AE90AB">
                  <wp:extent cx="2628900" cy="69024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7E" w:rsidRPr="00E4237E" w:rsidRDefault="00C61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С.В.Коломыцев</w:t>
            </w:r>
            <w:proofErr w:type="spellEnd"/>
          </w:p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7BDF" w:rsidTr="00327763">
        <w:trPr>
          <w:trHeight w:val="280"/>
        </w:trPr>
        <w:tc>
          <w:tcPr>
            <w:tcW w:w="29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7BDF" w:rsidRDefault="00344CBA" w:rsidP="00752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327763">
        <w:trPr>
          <w:trHeight w:val="132"/>
        </w:trPr>
        <w:tc>
          <w:tcPr>
            <w:tcW w:w="1251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BDF" w:rsidTr="00327763">
        <w:trPr>
          <w:trHeight w:val="281"/>
        </w:trPr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C612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140AF8" wp14:editId="42F5B1D9">
                  <wp:extent cx="2628900" cy="69024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37E" w:rsidRPr="00E4237E" w:rsidRDefault="00C61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Л.В.Касько</w:t>
            </w:r>
            <w:proofErr w:type="spellEnd"/>
          </w:p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7BDF" w:rsidTr="00327763">
        <w:trPr>
          <w:trHeight w:val="281"/>
        </w:trPr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  <w:tr w:rsidR="000E7BDF" w:rsidTr="00327763">
        <w:trPr>
          <w:trHeight w:val="281"/>
        </w:trPr>
        <w:tc>
          <w:tcPr>
            <w:tcW w:w="1251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BDF" w:rsidTr="00327763">
        <w:trPr>
          <w:trHeight w:val="281"/>
        </w:trPr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C612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9B8BD5" wp14:editId="0D506950">
                  <wp:extent cx="2628900" cy="69024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237E" w:rsidRDefault="00E4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237E" w:rsidRDefault="00E4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237E" w:rsidRPr="00E4237E" w:rsidRDefault="00C61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Л.В.Касько</w:t>
            </w:r>
            <w:proofErr w:type="spellEnd"/>
          </w:p>
          <w:p w:rsidR="000E7BDF" w:rsidRDefault="00344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7BDF" w:rsidTr="00327763">
        <w:trPr>
          <w:trHeight w:val="281"/>
        </w:trPr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>
            <w:pPr>
              <w:rPr>
                <w:sz w:val="24"/>
              </w:rPr>
            </w:pPr>
          </w:p>
        </w:tc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7BDF" w:rsidRDefault="00344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BDF" w:rsidRDefault="000E7BDF">
            <w:pPr>
              <w:rPr>
                <w:sz w:val="24"/>
              </w:rPr>
            </w:pPr>
          </w:p>
        </w:tc>
      </w:tr>
    </w:tbl>
    <w:p w:rsidR="000E7BDF" w:rsidRDefault="00344C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</w:t>
      </w:r>
    </w:p>
    <w:p w:rsidR="00752B98" w:rsidRPr="00752B98" w:rsidRDefault="00752B98" w:rsidP="0075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52B98"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</w:p>
    <w:p w:rsidR="000E7BDF" w:rsidRDefault="00752B98" w:rsidP="0075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52B98"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 w:rsidRPr="00752B98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752B98">
        <w:rPr>
          <w:rFonts w:ascii="Times New Roman" w:eastAsia="Times New Roman" w:hAnsi="Times New Roman" w:cs="Times New Roman"/>
          <w:sz w:val="24"/>
          <w:szCs w:val="24"/>
        </w:rPr>
        <w:t>Касько</w:t>
      </w:r>
      <w:proofErr w:type="spellEnd"/>
      <w:r w:rsidRPr="00752B98">
        <w:rPr>
          <w:rFonts w:ascii="Times New Roman" w:eastAsia="Times New Roman" w:hAnsi="Times New Roman" w:cs="Times New Roman"/>
          <w:sz w:val="24"/>
          <w:szCs w:val="24"/>
        </w:rPr>
        <w:t xml:space="preserve"> Любовь Владимировна, Сертификат: 00AF303DFDF3870271C5046AB3DCF0EE0E, Действителен: с 27.02.2024 по 22.05.2025),Руководитель(Коломыцев Сергей Васильевич, Сертификат: 162EAE615605E59AB7155D316AB67BE5, Действителен: с 04.03.2024 по 28.05.2025)</w:t>
      </w:r>
    </w:p>
    <w:sectPr w:rsidR="000E7BDF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7BDF"/>
    <w:rsid w:val="000B384C"/>
    <w:rsid w:val="000E7BDF"/>
    <w:rsid w:val="002F0E0B"/>
    <w:rsid w:val="00327763"/>
    <w:rsid w:val="00344358"/>
    <w:rsid w:val="00344CBA"/>
    <w:rsid w:val="00370CA3"/>
    <w:rsid w:val="00752B98"/>
    <w:rsid w:val="00C61295"/>
    <w:rsid w:val="00C619EB"/>
    <w:rsid w:val="00E4237E"/>
    <w:rsid w:val="00E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ZUIRG</dc:creator>
  <cp:lastModifiedBy>ZUIRGLAVBUCH@outlook.com</cp:lastModifiedBy>
  <cp:revision>12</cp:revision>
  <cp:lastPrinted>2025-03-11T06:16:00Z</cp:lastPrinted>
  <dcterms:created xsi:type="dcterms:W3CDTF">2025-03-07T07:28:00Z</dcterms:created>
  <dcterms:modified xsi:type="dcterms:W3CDTF">2025-03-11T06:38:00Z</dcterms:modified>
</cp:coreProperties>
</file>